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64F9C" w14:textId="16D1DEE0" w:rsidR="008540A4" w:rsidRPr="008C12DD" w:rsidRDefault="00754DB9">
      <w:pPr>
        <w:rPr>
          <w:lang w:val="en-US"/>
        </w:rPr>
      </w:pPr>
      <w:r>
        <w:rPr>
          <w:lang w:val="en-US"/>
        </w:rPr>
        <w:t>ISAW/</w:t>
      </w:r>
      <w:r w:rsidR="00DA2099" w:rsidRPr="008C12DD">
        <w:rPr>
          <w:lang w:val="en-US"/>
        </w:rPr>
        <w:t>NYU-UNIPV graduate seminar</w:t>
      </w:r>
      <w:r w:rsidR="008C12DD" w:rsidRPr="008C12DD">
        <w:rPr>
          <w:lang w:val="en-US"/>
        </w:rPr>
        <w:t>, Fall</w:t>
      </w:r>
      <w:r w:rsidR="008C12DD">
        <w:rPr>
          <w:lang w:val="en-US"/>
        </w:rPr>
        <w:t xml:space="preserve"> Semester 2026</w:t>
      </w:r>
    </w:p>
    <w:p w14:paraId="457571C5" w14:textId="77777777" w:rsidR="008C12DD" w:rsidRDefault="008C12DD">
      <w:pPr>
        <w:rPr>
          <w:b/>
          <w:bCs/>
          <w:lang w:val="en-US"/>
        </w:rPr>
      </w:pPr>
    </w:p>
    <w:p w14:paraId="10892B64" w14:textId="45FB1003" w:rsidR="00DA2099" w:rsidRDefault="00DA2099">
      <w:pPr>
        <w:rPr>
          <w:b/>
          <w:bCs/>
          <w:lang w:val="en-US"/>
        </w:rPr>
      </w:pPr>
      <w:r w:rsidRPr="008C12DD">
        <w:rPr>
          <w:b/>
          <w:bCs/>
          <w:lang w:val="en-US"/>
        </w:rPr>
        <w:t xml:space="preserve">Recent developments in the Late Bronze and Iron Age archaeology of </w:t>
      </w:r>
      <w:r w:rsidR="00754DB9">
        <w:rPr>
          <w:b/>
          <w:bCs/>
          <w:lang w:val="en-US"/>
        </w:rPr>
        <w:t xml:space="preserve">the eastern </w:t>
      </w:r>
      <w:proofErr w:type="spellStart"/>
      <w:r w:rsidR="00754DB9">
        <w:rPr>
          <w:b/>
          <w:bCs/>
          <w:lang w:val="en-US"/>
        </w:rPr>
        <w:t>MEditerrarnean</w:t>
      </w:r>
      <w:proofErr w:type="spellEnd"/>
      <w:r w:rsidR="008C12DD">
        <w:rPr>
          <w:b/>
          <w:bCs/>
          <w:lang w:val="en-US"/>
        </w:rPr>
        <w:t>:</w:t>
      </w:r>
    </w:p>
    <w:p w14:paraId="4C47C4A2" w14:textId="7880B75A" w:rsidR="008C12DD" w:rsidRPr="008C12DD" w:rsidRDefault="008C12DD">
      <w:pPr>
        <w:rPr>
          <w:b/>
          <w:bCs/>
          <w:lang w:val="en-US"/>
        </w:rPr>
      </w:pPr>
      <w:r>
        <w:rPr>
          <w:b/>
          <w:bCs/>
          <w:lang w:val="en-US"/>
        </w:rPr>
        <w:t>Historicity and archaeological research</w:t>
      </w:r>
    </w:p>
    <w:p w14:paraId="72ED2E3E" w14:textId="77777777" w:rsidR="00DA2099" w:rsidRDefault="00DA2099">
      <w:pPr>
        <w:rPr>
          <w:lang w:val="en-US"/>
        </w:rPr>
      </w:pPr>
    </w:p>
    <w:p w14:paraId="66AC3276" w14:textId="4DBCD2C1" w:rsidR="00DA2099" w:rsidRPr="00D77E74" w:rsidRDefault="00DA2099" w:rsidP="00DA2099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D77E74">
        <w:rPr>
          <w:sz w:val="24"/>
          <w:szCs w:val="24"/>
          <w:lang w:val="en-US"/>
        </w:rPr>
        <w:t>09/02</w:t>
      </w:r>
      <w:r w:rsidRPr="00D77E74">
        <w:rPr>
          <w:sz w:val="24"/>
          <w:szCs w:val="24"/>
          <w:lang w:val="en-US"/>
        </w:rPr>
        <w:tab/>
        <w:t>Intro</w:t>
      </w:r>
      <w:r w:rsidRPr="00D77E74">
        <w:rPr>
          <w:sz w:val="24"/>
          <w:szCs w:val="24"/>
          <w:lang w:val="en-US"/>
        </w:rPr>
        <w:tab/>
      </w:r>
    </w:p>
    <w:p w14:paraId="5F41B99F" w14:textId="77777777" w:rsidR="00DA2099" w:rsidRDefault="00DA2099" w:rsidP="00DA2099">
      <w:pPr>
        <w:pStyle w:val="ListParagraph"/>
        <w:rPr>
          <w:lang w:val="en-US"/>
        </w:rPr>
      </w:pPr>
    </w:p>
    <w:p w14:paraId="573C311A" w14:textId="77777777" w:rsidR="00DA2099" w:rsidRDefault="00DA2099" w:rsidP="00DA2099">
      <w:pPr>
        <w:pStyle w:val="ListParagraph"/>
        <w:rPr>
          <w:lang w:val="en-US"/>
        </w:rPr>
      </w:pPr>
    </w:p>
    <w:p w14:paraId="5131304A" w14:textId="4CE9DB7F" w:rsidR="00DA2099" w:rsidRPr="00D77E74" w:rsidRDefault="00DA2099" w:rsidP="00DA2099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D77E74">
        <w:rPr>
          <w:sz w:val="24"/>
          <w:szCs w:val="24"/>
          <w:lang w:val="en-US"/>
        </w:rPr>
        <w:t>09/09</w:t>
      </w:r>
      <w:r w:rsidRPr="00D77E74">
        <w:rPr>
          <w:sz w:val="24"/>
          <w:szCs w:val="24"/>
          <w:lang w:val="en-US"/>
        </w:rPr>
        <w:tab/>
        <w:t xml:space="preserve">Historical archaeology as a </w:t>
      </w:r>
      <w:r w:rsidR="008C12DD">
        <w:rPr>
          <w:sz w:val="24"/>
          <w:szCs w:val="24"/>
          <w:lang w:val="en-US"/>
        </w:rPr>
        <w:t>question</w:t>
      </w:r>
    </w:p>
    <w:p w14:paraId="6E30E2FC" w14:textId="45F65019" w:rsidR="00DA2099" w:rsidRDefault="00DA2099" w:rsidP="00DA2099">
      <w:pPr>
        <w:pStyle w:val="ListParagraph"/>
        <w:ind w:left="1416"/>
        <w:rPr>
          <w:lang w:val="en-US"/>
        </w:rPr>
      </w:pPr>
      <w:r w:rsidRPr="00DA2099">
        <w:rPr>
          <w:lang w:val="en-US"/>
        </w:rPr>
        <w:t xml:space="preserve">Andrén, Anders, and Alan Crozier. 1998. </w:t>
      </w:r>
      <w:r w:rsidRPr="00DA2099">
        <w:rPr>
          <w:i/>
          <w:iCs/>
          <w:lang w:val="en-US"/>
        </w:rPr>
        <w:t>Between Artifacts and Texts: Historical Archaeology in Global Perspective</w:t>
      </w:r>
      <w:r w:rsidRPr="00DA2099">
        <w:rPr>
          <w:lang w:val="en-US"/>
        </w:rPr>
        <w:t xml:space="preserve">. </w:t>
      </w:r>
      <w:r>
        <w:rPr>
          <w:lang w:val="en-US"/>
        </w:rPr>
        <w:t>Chapters 1, 3, and 6.</w:t>
      </w:r>
    </w:p>
    <w:p w14:paraId="5D05C55F" w14:textId="77777777" w:rsidR="00DA2099" w:rsidRDefault="00DA2099" w:rsidP="00DA2099">
      <w:pPr>
        <w:pStyle w:val="ListParagraph"/>
        <w:ind w:left="1416"/>
        <w:rPr>
          <w:lang w:val="en-US"/>
        </w:rPr>
      </w:pPr>
    </w:p>
    <w:p w14:paraId="6A680B15" w14:textId="018297EA" w:rsidR="00DA2099" w:rsidRPr="00DA2099" w:rsidRDefault="00DA2099" w:rsidP="000310CE">
      <w:pPr>
        <w:ind w:left="2832" w:hanging="1422"/>
        <w:rPr>
          <w:lang w:val="en-US"/>
        </w:rPr>
      </w:pPr>
      <w:r>
        <w:rPr>
          <w:lang w:val="en-US"/>
        </w:rPr>
        <w:t>Presentation</w:t>
      </w:r>
      <w:r w:rsidR="000310CE">
        <w:rPr>
          <w:lang w:val="en-US"/>
        </w:rPr>
        <w:tab/>
      </w:r>
      <w:r w:rsidR="000310CE" w:rsidRPr="000310CE">
        <w:rPr>
          <w:i/>
          <w:iCs/>
          <w:lang w:val="en-US"/>
        </w:rPr>
        <w:t>Stefano Apra’: on settlement pattern and mobility in Jordan during the LBA-IA transition</w:t>
      </w:r>
    </w:p>
    <w:p w14:paraId="62473FDD" w14:textId="77777777" w:rsidR="00DA2099" w:rsidRDefault="00DA2099" w:rsidP="00DA2099">
      <w:pPr>
        <w:pStyle w:val="ListParagraph"/>
        <w:rPr>
          <w:lang w:val="en-US"/>
        </w:rPr>
      </w:pPr>
    </w:p>
    <w:p w14:paraId="6FA9EED5" w14:textId="77777777" w:rsidR="00DA2099" w:rsidRPr="00DA2099" w:rsidRDefault="00DA2099" w:rsidP="00DA2099">
      <w:pPr>
        <w:pStyle w:val="ListParagraph"/>
        <w:rPr>
          <w:lang w:val="en-US"/>
        </w:rPr>
      </w:pPr>
    </w:p>
    <w:p w14:paraId="7268220B" w14:textId="0CFC8935" w:rsidR="00EC4D26" w:rsidRPr="00D77E74" w:rsidRDefault="00EC4D26" w:rsidP="00EC4D26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D77E74">
        <w:rPr>
          <w:sz w:val="24"/>
          <w:szCs w:val="24"/>
          <w:lang w:val="en-US"/>
        </w:rPr>
        <w:t>09/16</w:t>
      </w:r>
      <w:r w:rsidRPr="00D77E74">
        <w:rPr>
          <w:sz w:val="24"/>
          <w:szCs w:val="24"/>
          <w:lang w:val="en-US"/>
        </w:rPr>
        <w:tab/>
      </w:r>
      <w:r w:rsidR="005356FC" w:rsidRPr="00D77E74">
        <w:rPr>
          <w:sz w:val="24"/>
          <w:szCs w:val="24"/>
          <w:lang w:val="en-US"/>
        </w:rPr>
        <w:t>Methodological questions on text and material culture</w:t>
      </w:r>
    </w:p>
    <w:p w14:paraId="5AB81043" w14:textId="1EC9203B" w:rsidR="005356FC" w:rsidRDefault="005356FC" w:rsidP="005356FC">
      <w:pPr>
        <w:pStyle w:val="ListParagraph"/>
        <w:ind w:left="1416"/>
      </w:pPr>
      <w:r w:rsidRPr="005356FC">
        <w:rPr>
          <w:lang w:val="en-US"/>
        </w:rPr>
        <w:t xml:space="preserve">Beaudry, Mary C. </w:t>
      </w:r>
      <w:r>
        <w:rPr>
          <w:lang w:val="en-US"/>
        </w:rPr>
        <w:t xml:space="preserve">2014. </w:t>
      </w:r>
      <w:r w:rsidRPr="005356FC">
        <w:rPr>
          <w:lang w:val="en-US"/>
        </w:rPr>
        <w:t>“Documentary Archaeology: Dialogues and Discourses.”</w:t>
      </w:r>
      <w:r>
        <w:rPr>
          <w:lang w:val="en-US"/>
        </w:rPr>
        <w:t xml:space="preserve"> </w:t>
      </w:r>
      <w:r w:rsidRPr="005356FC">
        <w:rPr>
          <w:i/>
          <w:iCs/>
        </w:rPr>
        <w:t>The Oxford Handbook of Historical Archaeology</w:t>
      </w:r>
      <w:r w:rsidRPr="005356FC">
        <w:t>.</w:t>
      </w:r>
    </w:p>
    <w:p w14:paraId="1EAC5107" w14:textId="1A56CBBA" w:rsidR="005356FC" w:rsidRPr="005356FC" w:rsidRDefault="005356FC" w:rsidP="005356FC">
      <w:pPr>
        <w:pStyle w:val="ListParagraph"/>
        <w:ind w:left="1416"/>
        <w:rPr>
          <w:lang w:val="en-US"/>
        </w:rPr>
      </w:pPr>
      <w:r w:rsidRPr="005356FC">
        <w:rPr>
          <w:lang w:val="en-US"/>
        </w:rPr>
        <w:t xml:space="preserve">Wilkie, Laurie A. </w:t>
      </w:r>
      <w:r>
        <w:rPr>
          <w:lang w:val="en-US"/>
        </w:rPr>
        <w:t xml:space="preserve">2006. </w:t>
      </w:r>
      <w:r w:rsidRPr="005356FC">
        <w:rPr>
          <w:lang w:val="en-US"/>
        </w:rPr>
        <w:t xml:space="preserve">“Documentary </w:t>
      </w:r>
      <w:proofErr w:type="spellStart"/>
      <w:r w:rsidRPr="005356FC">
        <w:rPr>
          <w:lang w:val="en-US"/>
        </w:rPr>
        <w:t>Archaeology</w:t>
      </w:r>
      <w:proofErr w:type="gramStart"/>
      <w:r>
        <w:rPr>
          <w:lang w:val="en-US"/>
        </w:rPr>
        <w:t>.</w:t>
      </w:r>
      <w:r w:rsidRPr="005356FC">
        <w:rPr>
          <w:lang w:val="en-US"/>
        </w:rPr>
        <w:t>”</w:t>
      </w:r>
      <w:r w:rsidRPr="005356FC">
        <w:rPr>
          <w:i/>
          <w:iCs/>
          <w:lang w:val="en-US"/>
        </w:rPr>
        <w:t>The</w:t>
      </w:r>
      <w:proofErr w:type="spellEnd"/>
      <w:proofErr w:type="gramEnd"/>
      <w:r w:rsidRPr="005356FC">
        <w:rPr>
          <w:i/>
          <w:iCs/>
          <w:lang w:val="en-US"/>
        </w:rPr>
        <w:t xml:space="preserve"> Cambridge Companion to Historical Archaeology</w:t>
      </w:r>
    </w:p>
    <w:p w14:paraId="2D6EE724" w14:textId="77777777" w:rsidR="00EC4D26" w:rsidRDefault="00EC4D26" w:rsidP="00EC4D26">
      <w:pPr>
        <w:pStyle w:val="ListParagraph"/>
        <w:ind w:left="1416"/>
        <w:rPr>
          <w:lang w:val="en-US"/>
        </w:rPr>
      </w:pPr>
    </w:p>
    <w:p w14:paraId="00DA26BC" w14:textId="59F1B1A1" w:rsidR="005A69BE" w:rsidRDefault="005A69BE" w:rsidP="00EC4D26">
      <w:pPr>
        <w:pStyle w:val="ListParagraph"/>
        <w:ind w:left="1416"/>
        <w:rPr>
          <w:lang w:val="en-US"/>
        </w:rPr>
      </w:pPr>
      <w:r>
        <w:rPr>
          <w:lang w:val="en-US"/>
        </w:rPr>
        <w:t>Presentation</w:t>
      </w:r>
      <w:r w:rsidR="000310CE">
        <w:rPr>
          <w:lang w:val="en-US"/>
        </w:rPr>
        <w:tab/>
      </w:r>
      <w:r w:rsidR="000310CE" w:rsidRPr="000310CE">
        <w:rPr>
          <w:i/>
          <w:iCs/>
          <w:lang w:val="en-US"/>
        </w:rPr>
        <w:t xml:space="preserve">Braden </w:t>
      </w:r>
      <w:proofErr w:type="spellStart"/>
      <w:r w:rsidR="000310CE" w:rsidRPr="000310CE">
        <w:rPr>
          <w:i/>
          <w:iCs/>
          <w:lang w:val="en-US"/>
        </w:rPr>
        <w:t>Cordivari</w:t>
      </w:r>
      <w:proofErr w:type="spellEnd"/>
      <w:r w:rsidR="000310CE" w:rsidRPr="000310CE">
        <w:rPr>
          <w:i/>
          <w:iCs/>
          <w:lang w:val="en-US"/>
        </w:rPr>
        <w:t>: on M</w:t>
      </w:r>
      <w:r w:rsidR="00754DB9">
        <w:rPr>
          <w:i/>
          <w:iCs/>
          <w:lang w:val="en-US"/>
        </w:rPr>
        <w:t xml:space="preserve">iddle </w:t>
      </w:r>
      <w:r w:rsidR="000310CE" w:rsidRPr="000310CE">
        <w:rPr>
          <w:i/>
          <w:iCs/>
          <w:lang w:val="en-US"/>
        </w:rPr>
        <w:t>I</w:t>
      </w:r>
      <w:r w:rsidR="00754DB9">
        <w:rPr>
          <w:i/>
          <w:iCs/>
          <w:lang w:val="en-US"/>
        </w:rPr>
        <w:t xml:space="preserve">ron </w:t>
      </w:r>
      <w:r w:rsidR="000310CE" w:rsidRPr="000310CE">
        <w:rPr>
          <w:i/>
          <w:iCs/>
          <w:lang w:val="en-US"/>
        </w:rPr>
        <w:t>A</w:t>
      </w:r>
      <w:r w:rsidR="00754DB9">
        <w:rPr>
          <w:i/>
          <w:iCs/>
          <w:lang w:val="en-US"/>
        </w:rPr>
        <w:t>ge</w:t>
      </w:r>
      <w:r w:rsidR="000310CE" w:rsidRPr="000310CE">
        <w:rPr>
          <w:i/>
          <w:iCs/>
          <w:lang w:val="en-US"/>
        </w:rPr>
        <w:t xml:space="preserve"> cremation at Gordion </w:t>
      </w:r>
    </w:p>
    <w:p w14:paraId="497CBFA2" w14:textId="77777777" w:rsidR="005356FC" w:rsidRDefault="005356FC" w:rsidP="00EC4D26">
      <w:pPr>
        <w:pStyle w:val="ListParagraph"/>
        <w:ind w:left="1416"/>
        <w:rPr>
          <w:lang w:val="en-US"/>
        </w:rPr>
      </w:pPr>
    </w:p>
    <w:p w14:paraId="4DF61DB5" w14:textId="77777777" w:rsidR="008C12DD" w:rsidRDefault="008C12DD" w:rsidP="00EC4D26">
      <w:pPr>
        <w:pStyle w:val="ListParagraph"/>
        <w:ind w:left="1416"/>
        <w:rPr>
          <w:lang w:val="en-US"/>
        </w:rPr>
      </w:pPr>
    </w:p>
    <w:p w14:paraId="69B99BEC" w14:textId="02E36BB9" w:rsidR="005356FC" w:rsidRPr="00D77E74" w:rsidRDefault="00EC4D26" w:rsidP="00EC4D26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D77E74">
        <w:rPr>
          <w:sz w:val="24"/>
          <w:szCs w:val="24"/>
          <w:lang w:val="en-US"/>
        </w:rPr>
        <w:t>09/23</w:t>
      </w:r>
      <w:r w:rsidRPr="00D77E74">
        <w:rPr>
          <w:sz w:val="24"/>
          <w:szCs w:val="24"/>
          <w:lang w:val="en-US"/>
        </w:rPr>
        <w:tab/>
      </w:r>
      <w:r w:rsidR="005356FC" w:rsidRPr="00D77E74">
        <w:rPr>
          <w:sz w:val="24"/>
          <w:szCs w:val="24"/>
          <w:lang w:val="en-US"/>
        </w:rPr>
        <w:t>Archaeology of time</w:t>
      </w:r>
    </w:p>
    <w:p w14:paraId="531C339D" w14:textId="4266AFC9" w:rsidR="005A69BE" w:rsidRDefault="005A69BE" w:rsidP="008C12DD">
      <w:pPr>
        <w:pStyle w:val="ListParagraph"/>
        <w:ind w:left="1416"/>
        <w:rPr>
          <w:lang w:val="en-US"/>
        </w:rPr>
      </w:pPr>
      <w:r w:rsidRPr="005A69BE">
        <w:rPr>
          <w:lang w:val="en-US"/>
        </w:rPr>
        <w:t>Lucas, Gavin. 2005</w:t>
      </w:r>
      <w:r w:rsidRPr="00BB05F7">
        <w:rPr>
          <w:i/>
          <w:iCs/>
          <w:lang w:val="en-US"/>
        </w:rPr>
        <w:t>. The Archaeology of Time</w:t>
      </w:r>
      <w:r w:rsidRPr="005A69BE">
        <w:rPr>
          <w:lang w:val="en-US"/>
        </w:rPr>
        <w:t xml:space="preserve">. Themes in Archaeology. Routledge. </w:t>
      </w:r>
      <w:r w:rsidR="00970D32">
        <w:rPr>
          <w:lang w:val="en-US"/>
        </w:rPr>
        <w:t>Chapters 1, 2, and 3</w:t>
      </w:r>
    </w:p>
    <w:p w14:paraId="5C49F5A7" w14:textId="77777777" w:rsidR="008C12DD" w:rsidRPr="008C12DD" w:rsidRDefault="008C12DD" w:rsidP="008C12DD">
      <w:pPr>
        <w:pStyle w:val="ListParagraph"/>
        <w:ind w:left="1416"/>
        <w:rPr>
          <w:lang w:val="en-US"/>
        </w:rPr>
      </w:pPr>
    </w:p>
    <w:p w14:paraId="18CB015D" w14:textId="2831752C" w:rsidR="005A69BE" w:rsidRDefault="005A69BE" w:rsidP="00754DB9">
      <w:pPr>
        <w:pStyle w:val="ListParagraph"/>
        <w:ind w:left="2832" w:hanging="1416"/>
        <w:rPr>
          <w:lang w:val="en-US"/>
        </w:rPr>
      </w:pPr>
      <w:r>
        <w:rPr>
          <w:lang w:val="en-US"/>
        </w:rPr>
        <w:t>Presentation</w:t>
      </w:r>
      <w:r w:rsidR="000310CE">
        <w:rPr>
          <w:lang w:val="en-US"/>
        </w:rPr>
        <w:tab/>
      </w:r>
      <w:r w:rsidR="000310CE" w:rsidRPr="000310CE">
        <w:rPr>
          <w:i/>
          <w:iCs/>
          <w:lang w:val="en-US"/>
        </w:rPr>
        <w:t>Leop</w:t>
      </w:r>
      <w:r w:rsidR="000310CE">
        <w:rPr>
          <w:i/>
          <w:iCs/>
          <w:lang w:val="en-US"/>
        </w:rPr>
        <w:t>oldo Fox-</w:t>
      </w:r>
      <w:proofErr w:type="spellStart"/>
      <w:r w:rsidR="000310CE">
        <w:rPr>
          <w:i/>
          <w:iCs/>
          <w:lang w:val="en-US"/>
        </w:rPr>
        <w:t>Zampiccoli</w:t>
      </w:r>
      <w:proofErr w:type="spellEnd"/>
      <w:r w:rsidR="000310CE" w:rsidRPr="000310CE">
        <w:rPr>
          <w:i/>
          <w:iCs/>
          <w:lang w:val="en-US"/>
        </w:rPr>
        <w:t xml:space="preserve">: on </w:t>
      </w:r>
      <w:r w:rsidR="00754DB9">
        <w:rPr>
          <w:i/>
          <w:iCs/>
          <w:lang w:val="en-US"/>
        </w:rPr>
        <w:t>the</w:t>
      </w:r>
      <w:r w:rsidR="000310CE" w:rsidRPr="000310CE">
        <w:rPr>
          <w:i/>
          <w:iCs/>
          <w:lang w:val="en-US"/>
        </w:rPr>
        <w:t xml:space="preserve"> legacy </w:t>
      </w:r>
      <w:r w:rsidR="00754DB9">
        <w:rPr>
          <w:i/>
          <w:iCs/>
          <w:lang w:val="en-US"/>
        </w:rPr>
        <w:t xml:space="preserve">of Pharaonic Egypt </w:t>
      </w:r>
      <w:r w:rsidR="000310CE" w:rsidRPr="000310CE">
        <w:rPr>
          <w:i/>
          <w:iCs/>
          <w:lang w:val="en-US"/>
        </w:rPr>
        <w:t xml:space="preserve">in </w:t>
      </w:r>
      <w:r w:rsidR="00754DB9">
        <w:rPr>
          <w:i/>
          <w:iCs/>
          <w:lang w:val="en-US"/>
        </w:rPr>
        <w:t xml:space="preserve">the </w:t>
      </w:r>
      <w:r w:rsidR="000310CE" w:rsidRPr="000310CE">
        <w:rPr>
          <w:i/>
          <w:iCs/>
          <w:lang w:val="en-US"/>
        </w:rPr>
        <w:t>Iron Age N</w:t>
      </w:r>
      <w:r w:rsidR="00754DB9">
        <w:rPr>
          <w:i/>
          <w:iCs/>
          <w:lang w:val="en-US"/>
        </w:rPr>
        <w:t>orthern</w:t>
      </w:r>
      <w:r w:rsidR="000310CE" w:rsidRPr="000310CE">
        <w:rPr>
          <w:i/>
          <w:iCs/>
          <w:lang w:val="en-US"/>
        </w:rPr>
        <w:t xml:space="preserve"> Levant</w:t>
      </w:r>
    </w:p>
    <w:p w14:paraId="7685E542" w14:textId="77777777" w:rsidR="005A69BE" w:rsidRDefault="005A69BE" w:rsidP="005A69BE">
      <w:pPr>
        <w:pStyle w:val="ListParagraph"/>
        <w:ind w:left="1416"/>
        <w:rPr>
          <w:lang w:val="en-US"/>
        </w:rPr>
      </w:pPr>
    </w:p>
    <w:p w14:paraId="76E91249" w14:textId="77777777" w:rsidR="008C12DD" w:rsidRDefault="008C12DD" w:rsidP="005A69BE">
      <w:pPr>
        <w:pStyle w:val="ListParagraph"/>
        <w:ind w:left="1416"/>
        <w:rPr>
          <w:lang w:val="en-US"/>
        </w:rPr>
      </w:pPr>
    </w:p>
    <w:p w14:paraId="1014561C" w14:textId="6BBE559C" w:rsidR="00EC4D26" w:rsidRPr="00D77E74" w:rsidRDefault="005A69BE" w:rsidP="00EC4D26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0310CE">
        <w:rPr>
          <w:sz w:val="24"/>
          <w:szCs w:val="24"/>
          <w:lang w:val="en-US"/>
        </w:rPr>
        <w:t>09/30</w:t>
      </w:r>
      <w:r w:rsidRPr="00D77E74">
        <w:rPr>
          <w:b/>
          <w:bCs/>
          <w:sz w:val="24"/>
          <w:szCs w:val="24"/>
          <w:lang w:val="en-US"/>
        </w:rPr>
        <w:tab/>
      </w:r>
      <w:r w:rsidR="00EC4D26" w:rsidRPr="00D77E74">
        <w:rPr>
          <w:sz w:val="24"/>
          <w:szCs w:val="24"/>
          <w:lang w:val="en-US"/>
        </w:rPr>
        <w:t>Epistemological questions on text and material culture</w:t>
      </w:r>
    </w:p>
    <w:p w14:paraId="77383853" w14:textId="77777777" w:rsidR="00EC4D26" w:rsidRDefault="00EC4D26" w:rsidP="00EC4D26">
      <w:pPr>
        <w:pStyle w:val="ListParagraph"/>
        <w:ind w:left="1416"/>
        <w:rPr>
          <w:lang w:val="en-US"/>
        </w:rPr>
      </w:pPr>
      <w:r w:rsidRPr="00EC4D26">
        <w:rPr>
          <w:lang w:val="en-US"/>
        </w:rPr>
        <w:t xml:space="preserve">Moreland, John. 2006. “Archaeology and Texts: Subservience or Enlightenment.” </w:t>
      </w:r>
      <w:r w:rsidRPr="00EC4D26">
        <w:rPr>
          <w:i/>
          <w:iCs/>
          <w:lang w:val="en-US"/>
        </w:rPr>
        <w:t>Annual Review of Anthropology</w:t>
      </w:r>
      <w:r w:rsidRPr="00EC4D26">
        <w:rPr>
          <w:lang w:val="en-US"/>
        </w:rPr>
        <w:t xml:space="preserve"> 35 (1): 135–51. </w:t>
      </w:r>
    </w:p>
    <w:p w14:paraId="788DF39A" w14:textId="7904DD89" w:rsidR="00970D32" w:rsidRPr="00970D32" w:rsidRDefault="00970D32" w:rsidP="00970D32">
      <w:pPr>
        <w:pStyle w:val="ListParagraph"/>
        <w:ind w:left="1416"/>
        <w:rPr>
          <w:lang w:val="en-US"/>
        </w:rPr>
      </w:pPr>
      <w:r w:rsidRPr="00970D32">
        <w:rPr>
          <w:lang w:val="en-US"/>
        </w:rPr>
        <w:t xml:space="preserve">Johnson, Matthew. 2010. </w:t>
      </w:r>
      <w:r>
        <w:rPr>
          <w:lang w:val="en-US"/>
        </w:rPr>
        <w:t xml:space="preserve">“Archaeology and History” </w:t>
      </w:r>
      <w:r w:rsidRPr="00970D32">
        <w:rPr>
          <w:i/>
          <w:iCs/>
          <w:lang w:val="en-US"/>
        </w:rPr>
        <w:t>Archaeological Theory: An Introduction</w:t>
      </w:r>
      <w:r w:rsidRPr="00970D32">
        <w:rPr>
          <w:lang w:val="en-US"/>
        </w:rPr>
        <w:t>. 2nd ed. Wiley-Blackwell.</w:t>
      </w:r>
    </w:p>
    <w:p w14:paraId="3E3DD58C" w14:textId="77777777" w:rsidR="00EC4D26" w:rsidRDefault="00EC4D26" w:rsidP="00EC4D26">
      <w:pPr>
        <w:pStyle w:val="ListParagraph"/>
        <w:ind w:left="1416"/>
        <w:rPr>
          <w:lang w:val="en-US"/>
        </w:rPr>
      </w:pPr>
    </w:p>
    <w:p w14:paraId="715E3917" w14:textId="40ADB236" w:rsidR="00113E46" w:rsidRDefault="00EC4D26" w:rsidP="008C12DD">
      <w:pPr>
        <w:pStyle w:val="ListParagraph"/>
        <w:ind w:left="1416"/>
        <w:rPr>
          <w:lang w:val="en-US"/>
        </w:rPr>
      </w:pPr>
      <w:r>
        <w:rPr>
          <w:lang w:val="en-US"/>
        </w:rPr>
        <w:t>Presentation</w:t>
      </w:r>
      <w:r w:rsidR="00754DB9">
        <w:rPr>
          <w:lang w:val="en-US"/>
        </w:rPr>
        <w:t>: to be assigned</w:t>
      </w:r>
    </w:p>
    <w:p w14:paraId="5EE9B805" w14:textId="77777777" w:rsidR="008C12DD" w:rsidRDefault="008C12DD" w:rsidP="008C12DD">
      <w:pPr>
        <w:pStyle w:val="ListParagraph"/>
        <w:ind w:left="1416"/>
        <w:rPr>
          <w:lang w:val="en-US"/>
        </w:rPr>
      </w:pPr>
    </w:p>
    <w:p w14:paraId="5236A85A" w14:textId="77777777" w:rsidR="008C12DD" w:rsidRPr="008C12DD" w:rsidRDefault="008C12DD" w:rsidP="008C12DD">
      <w:pPr>
        <w:pStyle w:val="ListParagraph"/>
        <w:ind w:left="1416"/>
        <w:rPr>
          <w:lang w:val="en-US"/>
        </w:rPr>
      </w:pPr>
    </w:p>
    <w:p w14:paraId="359CC1DB" w14:textId="75C26A46" w:rsidR="00113E46" w:rsidRPr="00D77E74" w:rsidRDefault="00113E46" w:rsidP="00113E46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D77E74">
        <w:rPr>
          <w:sz w:val="24"/>
          <w:szCs w:val="24"/>
          <w:lang w:val="en-US"/>
        </w:rPr>
        <w:t>11/04</w:t>
      </w:r>
      <w:r w:rsidRPr="00D77E74">
        <w:rPr>
          <w:sz w:val="24"/>
          <w:szCs w:val="24"/>
          <w:lang w:val="en-US"/>
        </w:rPr>
        <w:tab/>
        <w:t>The shift! Material culture as historical source</w:t>
      </w:r>
    </w:p>
    <w:p w14:paraId="01A74CAC" w14:textId="18B6631A" w:rsidR="00113E46" w:rsidRDefault="00113E46" w:rsidP="00113E46">
      <w:pPr>
        <w:pStyle w:val="ListParagraph"/>
        <w:ind w:left="1416"/>
        <w:rPr>
          <w:lang w:val="en-US"/>
        </w:rPr>
      </w:pPr>
      <w:r w:rsidRPr="00113E46">
        <w:rPr>
          <w:lang w:val="en-US"/>
        </w:rPr>
        <w:t>D</w:t>
      </w:r>
      <w:r>
        <w:rPr>
          <w:lang w:val="en-US"/>
        </w:rPr>
        <w:t>yer, Serena</w:t>
      </w:r>
      <w:r w:rsidRPr="00113E46">
        <w:rPr>
          <w:lang w:val="en-US"/>
        </w:rPr>
        <w:t xml:space="preserve">. 2021. “State of the Field: Material Culture.” </w:t>
      </w:r>
      <w:r w:rsidRPr="00113E46">
        <w:rPr>
          <w:i/>
          <w:iCs/>
          <w:lang w:val="en-US"/>
        </w:rPr>
        <w:t>History</w:t>
      </w:r>
      <w:r w:rsidRPr="00113E46">
        <w:rPr>
          <w:lang w:val="en-US"/>
        </w:rPr>
        <w:t xml:space="preserve"> 106 (370): 282–92. </w:t>
      </w:r>
    </w:p>
    <w:p w14:paraId="124E7CA8" w14:textId="6B8D9DA9" w:rsidR="00B970B7" w:rsidRPr="000310CE" w:rsidRDefault="00B970B7" w:rsidP="00B970B7">
      <w:pPr>
        <w:pStyle w:val="ListParagraph"/>
        <w:ind w:left="1416"/>
        <w:rPr>
          <w:lang w:val="en-US"/>
        </w:rPr>
      </w:pPr>
      <w:r w:rsidRPr="00B970B7">
        <w:rPr>
          <w:lang w:val="en-US"/>
        </w:rPr>
        <w:lastRenderedPageBreak/>
        <w:t xml:space="preserve">Gaskell, Ivan, and Sarah Anne Carter. 2020. </w:t>
      </w:r>
      <w:r w:rsidRPr="00B970B7">
        <w:rPr>
          <w:i/>
          <w:iCs/>
          <w:lang w:val="en-US"/>
        </w:rPr>
        <w:t>The Oxford Handbook of History and Material Culture</w:t>
      </w:r>
      <w:r w:rsidRPr="00B970B7">
        <w:rPr>
          <w:lang w:val="en-US"/>
        </w:rPr>
        <w:t xml:space="preserve">. </w:t>
      </w:r>
      <w:r w:rsidRPr="000310CE">
        <w:rPr>
          <w:lang w:val="en-US"/>
        </w:rPr>
        <w:t>Oxford University Press: Introduction</w:t>
      </w:r>
    </w:p>
    <w:p w14:paraId="22B42C2C" w14:textId="77777777" w:rsidR="00B970B7" w:rsidRDefault="00B970B7" w:rsidP="00113E46">
      <w:pPr>
        <w:pStyle w:val="ListParagraph"/>
        <w:ind w:left="1416"/>
        <w:rPr>
          <w:lang w:val="en-US"/>
        </w:rPr>
      </w:pPr>
    </w:p>
    <w:p w14:paraId="642C760F" w14:textId="59089E81" w:rsidR="00B970B7" w:rsidRPr="000310CE" w:rsidRDefault="00B970B7" w:rsidP="00113E46">
      <w:pPr>
        <w:pStyle w:val="ListParagraph"/>
        <w:ind w:left="1416"/>
        <w:rPr>
          <w:i/>
          <w:iCs/>
          <w:lang w:val="en-US"/>
        </w:rPr>
      </w:pPr>
      <w:r w:rsidRPr="000310CE">
        <w:rPr>
          <w:lang w:val="en-US"/>
        </w:rPr>
        <w:t>Presentation</w:t>
      </w:r>
      <w:r w:rsidR="000310CE" w:rsidRPr="000310CE">
        <w:rPr>
          <w:lang w:val="en-US"/>
        </w:rPr>
        <w:tab/>
      </w:r>
      <w:r w:rsidR="000310CE" w:rsidRPr="000310CE">
        <w:rPr>
          <w:i/>
          <w:iCs/>
          <w:lang w:val="en-US"/>
        </w:rPr>
        <w:t xml:space="preserve">Talia Sankari: on cranial </w:t>
      </w:r>
      <w:proofErr w:type="spellStart"/>
      <w:r w:rsidR="000310CE" w:rsidRPr="000310CE">
        <w:rPr>
          <w:i/>
          <w:iCs/>
          <w:lang w:val="en-US"/>
        </w:rPr>
        <w:t>trapanation</w:t>
      </w:r>
      <w:proofErr w:type="spellEnd"/>
      <w:r w:rsidR="000310CE" w:rsidRPr="000310CE">
        <w:rPr>
          <w:i/>
          <w:iCs/>
          <w:lang w:val="en-US"/>
        </w:rPr>
        <w:t xml:space="preserve"> in the 1930s assemblage from Ugarit</w:t>
      </w:r>
    </w:p>
    <w:p w14:paraId="26F28A1B" w14:textId="77777777" w:rsidR="00B970B7" w:rsidRPr="000310CE" w:rsidRDefault="00B970B7" w:rsidP="00113E46">
      <w:pPr>
        <w:pStyle w:val="ListParagraph"/>
        <w:ind w:left="1416"/>
        <w:rPr>
          <w:lang w:val="en-US"/>
        </w:rPr>
      </w:pPr>
    </w:p>
    <w:p w14:paraId="627C7FBE" w14:textId="77777777" w:rsidR="00113E46" w:rsidRPr="000310CE" w:rsidRDefault="00113E46" w:rsidP="00113E46">
      <w:pPr>
        <w:pStyle w:val="ListParagraph"/>
        <w:rPr>
          <w:lang w:val="en-US"/>
        </w:rPr>
      </w:pPr>
    </w:p>
    <w:p w14:paraId="698C745C" w14:textId="77777777" w:rsidR="007A15C0" w:rsidRPr="00D77E74" w:rsidRDefault="00113E46" w:rsidP="007A15C0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D77E74">
        <w:rPr>
          <w:sz w:val="24"/>
          <w:szCs w:val="24"/>
          <w:lang w:val="en-US"/>
        </w:rPr>
        <w:t>11/11</w:t>
      </w:r>
      <w:r w:rsidR="00B970B7" w:rsidRPr="00D77E74">
        <w:rPr>
          <w:sz w:val="24"/>
          <w:szCs w:val="24"/>
          <w:lang w:val="en-US"/>
        </w:rPr>
        <w:tab/>
      </w:r>
      <w:r w:rsidR="007A15C0" w:rsidRPr="00D77E74">
        <w:rPr>
          <w:sz w:val="24"/>
          <w:szCs w:val="24"/>
          <w:lang w:val="en-US"/>
        </w:rPr>
        <w:t>Early debate on history and archaeology in pre-classical western Asia</w:t>
      </w:r>
    </w:p>
    <w:p w14:paraId="489AD9A6" w14:textId="77777777" w:rsidR="00BF4929" w:rsidRDefault="00BF4929" w:rsidP="007A15C0">
      <w:pPr>
        <w:pStyle w:val="ListParagraph"/>
        <w:ind w:left="1416"/>
        <w:rPr>
          <w:lang w:val="en-US"/>
        </w:rPr>
      </w:pPr>
      <w:r w:rsidRPr="00BF4929">
        <w:rPr>
          <w:lang w:val="en-US"/>
        </w:rPr>
        <w:t>Marie-Henriette Gates, “Dialogues between Ancient Near Eastern Texts and the Archaeological Record: Test Cases from Bronze Age Syria,” </w:t>
      </w:r>
      <w:r w:rsidRPr="00BF4929">
        <w:rPr>
          <w:i/>
          <w:iCs/>
          <w:lang w:val="en-US"/>
        </w:rPr>
        <w:t>BASOR</w:t>
      </w:r>
      <w:r w:rsidRPr="00BF4929">
        <w:rPr>
          <w:lang w:val="en-US"/>
        </w:rPr>
        <w:t> 270 (1988): 63–91.</w:t>
      </w:r>
    </w:p>
    <w:p w14:paraId="6B3EC371" w14:textId="3EB96CF9" w:rsidR="007A15C0" w:rsidRPr="00754DB9" w:rsidRDefault="007A15C0" w:rsidP="007A15C0">
      <w:pPr>
        <w:pStyle w:val="ListParagraph"/>
        <w:ind w:left="1416"/>
        <w:rPr>
          <w:lang w:val="de-DE"/>
        </w:rPr>
      </w:pPr>
      <w:r w:rsidRPr="007A15C0">
        <w:rPr>
          <w:lang w:val="en-US"/>
        </w:rPr>
        <w:t xml:space="preserve">Liverani, Mario, 1999 History and Archaeology in the Ancient Near East: 150 Years of a Difficult Relationship. </w:t>
      </w:r>
      <w:r w:rsidRPr="00754DB9">
        <w:rPr>
          <w:lang w:val="de-DE"/>
        </w:rPr>
        <w:t>In Fluchtpunkt Uruk: Archäologische Einheit aus methodischer Vielfalt. Schriften für Hans Jörg Nissen. H</w:t>
      </w:r>
      <w:r w:rsidR="00D77E74" w:rsidRPr="00754DB9">
        <w:rPr>
          <w:lang w:val="de-DE"/>
        </w:rPr>
        <w:t>.</w:t>
      </w:r>
      <w:r w:rsidRPr="00754DB9">
        <w:rPr>
          <w:lang w:val="de-DE"/>
        </w:rPr>
        <w:t xml:space="preserve"> Kühne</w:t>
      </w:r>
      <w:r w:rsidR="00D77E74" w:rsidRPr="00754DB9">
        <w:rPr>
          <w:lang w:val="de-DE"/>
        </w:rPr>
        <w:t xml:space="preserve"> et </w:t>
      </w:r>
      <w:proofErr w:type="spellStart"/>
      <w:r w:rsidR="00D77E74" w:rsidRPr="00754DB9">
        <w:rPr>
          <w:lang w:val="de-DE"/>
        </w:rPr>
        <w:t>al</w:t>
      </w:r>
      <w:r w:rsidRPr="00754DB9">
        <w:rPr>
          <w:lang w:val="de-DE"/>
        </w:rPr>
        <w:t>eds</w:t>
      </w:r>
      <w:proofErr w:type="spellEnd"/>
      <w:r w:rsidRPr="00754DB9">
        <w:rPr>
          <w:lang w:val="de-DE"/>
        </w:rPr>
        <w:t>. pp. 1–11. Rahden/Westf.: Marie Leidorf.</w:t>
      </w:r>
    </w:p>
    <w:p w14:paraId="31E16D19" w14:textId="2DF24EFF" w:rsidR="007A15C0" w:rsidRPr="002C0EB6" w:rsidRDefault="007A15C0" w:rsidP="007A15C0">
      <w:pPr>
        <w:pStyle w:val="ListParagraph"/>
        <w:ind w:left="1416"/>
        <w:rPr>
          <w:lang w:val="en-US"/>
        </w:rPr>
      </w:pPr>
      <w:r w:rsidRPr="00754DB9">
        <w:rPr>
          <w:lang w:val="de-DE"/>
        </w:rPr>
        <w:t xml:space="preserve">Zimansky, Paul. </w:t>
      </w:r>
      <w:r w:rsidRPr="007A15C0">
        <w:rPr>
          <w:lang w:val="en-US"/>
        </w:rPr>
        <w:t>"Archaeology and texts in the ancient Near East." </w:t>
      </w:r>
      <w:r w:rsidRPr="002C0EB6">
        <w:rPr>
          <w:i/>
          <w:iCs/>
          <w:lang w:val="en-US"/>
        </w:rPr>
        <w:t>Archaeologies of the Middle East: Critical Perspectives</w:t>
      </w:r>
      <w:r w:rsidRPr="002C0EB6">
        <w:rPr>
          <w:lang w:val="en-US"/>
        </w:rPr>
        <w:t> (2005): 308-326.</w:t>
      </w:r>
    </w:p>
    <w:p w14:paraId="5F0740D7" w14:textId="27BE0CF2" w:rsidR="00D77E74" w:rsidRDefault="00D77E74" w:rsidP="00D77E74">
      <w:pPr>
        <w:pStyle w:val="ListParagraph"/>
        <w:ind w:left="1416"/>
        <w:rPr>
          <w:lang w:val="en-US"/>
        </w:rPr>
      </w:pPr>
      <w:r w:rsidRPr="00D77E74">
        <w:rPr>
          <w:lang w:val="en-US"/>
        </w:rPr>
        <w:t>Marie-Henriette Gates, “Archaeology and the Ancient Near East: Methods and Limits” (2005)</w:t>
      </w:r>
      <w:r>
        <w:rPr>
          <w:lang w:val="en-US"/>
        </w:rPr>
        <w:t xml:space="preserve">. </w:t>
      </w:r>
      <w:r w:rsidRPr="002C0EB6">
        <w:rPr>
          <w:i/>
          <w:iCs/>
          <w:lang w:val="en-US"/>
        </w:rPr>
        <w:t>A Companion to the Ancient Near East</w:t>
      </w:r>
      <w:r w:rsidRPr="002C0EB6">
        <w:rPr>
          <w:lang w:val="en-US"/>
        </w:rPr>
        <w:t>.</w:t>
      </w:r>
    </w:p>
    <w:p w14:paraId="6D13546B" w14:textId="64B71757" w:rsidR="00D77E74" w:rsidRPr="00D77E74" w:rsidRDefault="00D77E74" w:rsidP="00D77E74">
      <w:pPr>
        <w:pStyle w:val="ListParagraph"/>
        <w:ind w:left="1416"/>
        <w:rPr>
          <w:lang w:val="en-US"/>
        </w:rPr>
      </w:pPr>
      <w:r w:rsidRPr="00D77E74">
        <w:rPr>
          <w:lang w:val="en-US"/>
        </w:rPr>
        <w:t xml:space="preserve">Postgate, Nicholas. 2010. “The </w:t>
      </w:r>
      <w:r>
        <w:rPr>
          <w:lang w:val="en-US"/>
        </w:rPr>
        <w:t>d</w:t>
      </w:r>
      <w:r w:rsidRPr="00D77E74">
        <w:rPr>
          <w:lang w:val="en-US"/>
        </w:rPr>
        <w:t xml:space="preserve">ebris </w:t>
      </w:r>
      <w:r>
        <w:rPr>
          <w:lang w:val="en-US"/>
        </w:rPr>
        <w:t>o</w:t>
      </w:r>
      <w:r w:rsidRPr="00D77E74">
        <w:rPr>
          <w:lang w:val="en-US"/>
        </w:rPr>
        <w:t xml:space="preserve">f </w:t>
      </w:r>
      <w:r>
        <w:rPr>
          <w:lang w:val="en-US"/>
        </w:rPr>
        <w:t>g</w:t>
      </w:r>
      <w:r w:rsidRPr="00D77E74">
        <w:rPr>
          <w:lang w:val="en-US"/>
        </w:rPr>
        <w:t xml:space="preserve">overnment: Reconstructing </w:t>
      </w:r>
      <w:r>
        <w:rPr>
          <w:lang w:val="en-US"/>
        </w:rPr>
        <w:t>t</w:t>
      </w:r>
      <w:r w:rsidRPr="00D77E74">
        <w:rPr>
          <w:lang w:val="en-US"/>
        </w:rPr>
        <w:t xml:space="preserve">he Middle Assyrian State </w:t>
      </w:r>
      <w:r>
        <w:rPr>
          <w:lang w:val="en-US"/>
        </w:rPr>
        <w:t>a</w:t>
      </w:r>
      <w:r w:rsidRPr="00D77E74">
        <w:rPr>
          <w:lang w:val="en-US"/>
        </w:rPr>
        <w:t xml:space="preserve">pparatus </w:t>
      </w:r>
      <w:r>
        <w:rPr>
          <w:lang w:val="en-US"/>
        </w:rPr>
        <w:t>f</w:t>
      </w:r>
      <w:r w:rsidRPr="00D77E74">
        <w:rPr>
          <w:lang w:val="en-US"/>
        </w:rPr>
        <w:t xml:space="preserve">rom </w:t>
      </w:r>
      <w:r>
        <w:rPr>
          <w:lang w:val="en-US"/>
        </w:rPr>
        <w:t>t</w:t>
      </w:r>
      <w:r w:rsidRPr="00D77E74">
        <w:rPr>
          <w:lang w:val="en-US"/>
        </w:rPr>
        <w:t xml:space="preserve">ablets </w:t>
      </w:r>
      <w:r>
        <w:rPr>
          <w:lang w:val="en-US"/>
        </w:rPr>
        <w:t>a</w:t>
      </w:r>
      <w:r w:rsidRPr="00D77E74">
        <w:rPr>
          <w:lang w:val="en-US"/>
        </w:rPr>
        <w:t xml:space="preserve">nd </w:t>
      </w:r>
      <w:r>
        <w:rPr>
          <w:lang w:val="en-US"/>
        </w:rPr>
        <w:t>p</w:t>
      </w:r>
      <w:r w:rsidRPr="00D77E74">
        <w:rPr>
          <w:lang w:val="en-US"/>
        </w:rPr>
        <w:t xml:space="preserve">otsherds.” </w:t>
      </w:r>
      <w:r w:rsidRPr="00D77E74">
        <w:rPr>
          <w:i/>
          <w:iCs/>
          <w:lang w:val="en-US"/>
        </w:rPr>
        <w:t>Iraq</w:t>
      </w:r>
      <w:r w:rsidRPr="00D77E74">
        <w:rPr>
          <w:lang w:val="en-US"/>
        </w:rPr>
        <w:t xml:space="preserve"> 72: 19–37.</w:t>
      </w:r>
    </w:p>
    <w:p w14:paraId="61CF699B" w14:textId="77777777" w:rsidR="00D77E74" w:rsidRDefault="00D77E74" w:rsidP="007A15C0">
      <w:pPr>
        <w:pStyle w:val="ListParagraph"/>
        <w:ind w:left="1416"/>
        <w:rPr>
          <w:lang w:val="en-US"/>
        </w:rPr>
      </w:pPr>
    </w:p>
    <w:p w14:paraId="3776A407" w14:textId="1C5C24C9" w:rsidR="00BE3832" w:rsidRPr="007A15C0" w:rsidRDefault="00BE3832" w:rsidP="007A15C0">
      <w:pPr>
        <w:pStyle w:val="ListParagraph"/>
        <w:ind w:left="1416"/>
        <w:rPr>
          <w:lang w:val="en-US"/>
        </w:rPr>
      </w:pPr>
      <w:r>
        <w:rPr>
          <w:lang w:val="en-US"/>
        </w:rPr>
        <w:t>Presentation</w:t>
      </w:r>
      <w:r w:rsidR="00754DB9">
        <w:rPr>
          <w:lang w:val="en-US"/>
        </w:rPr>
        <w:tab/>
        <w:t xml:space="preserve"> to be assigned</w:t>
      </w:r>
    </w:p>
    <w:p w14:paraId="08E078FA" w14:textId="77777777" w:rsidR="007A15C0" w:rsidRDefault="007A15C0" w:rsidP="007A15C0">
      <w:pPr>
        <w:pStyle w:val="ListParagraph"/>
        <w:rPr>
          <w:lang w:val="en-US"/>
        </w:rPr>
      </w:pPr>
    </w:p>
    <w:p w14:paraId="25EE0018" w14:textId="77777777" w:rsidR="007A15C0" w:rsidRDefault="007A15C0" w:rsidP="007A15C0">
      <w:pPr>
        <w:pStyle w:val="ListParagraph"/>
        <w:rPr>
          <w:lang w:val="en-US"/>
        </w:rPr>
      </w:pPr>
    </w:p>
    <w:p w14:paraId="5D2200B2" w14:textId="77777777" w:rsidR="00BE3832" w:rsidRPr="00D77E74" w:rsidRDefault="00113E46" w:rsidP="00BE3832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D77E74">
        <w:rPr>
          <w:sz w:val="24"/>
          <w:szCs w:val="24"/>
          <w:lang w:val="en-US"/>
        </w:rPr>
        <w:t>11/18</w:t>
      </w:r>
      <w:r w:rsidR="00327D51" w:rsidRPr="00D77E74">
        <w:rPr>
          <w:sz w:val="24"/>
          <w:szCs w:val="24"/>
          <w:lang w:val="en-US"/>
        </w:rPr>
        <w:tab/>
      </w:r>
      <w:r w:rsidR="00BE3832" w:rsidRPr="00D77E74">
        <w:rPr>
          <w:sz w:val="24"/>
          <w:szCs w:val="24"/>
          <w:lang w:val="en-US"/>
        </w:rPr>
        <w:t>History and bioarcheology in western Asia</w:t>
      </w:r>
    </w:p>
    <w:p w14:paraId="6A752F87" w14:textId="2C5E592F" w:rsidR="007A15C0" w:rsidRPr="002C0EB6" w:rsidRDefault="00BE3832" w:rsidP="00BE3832">
      <w:pPr>
        <w:pStyle w:val="ListParagraph"/>
        <w:ind w:left="1416"/>
        <w:rPr>
          <w:lang w:val="en-US"/>
        </w:rPr>
      </w:pPr>
      <w:proofErr w:type="spellStart"/>
      <w:r w:rsidRPr="00327D51">
        <w:rPr>
          <w:lang w:val="en-US"/>
        </w:rPr>
        <w:t>Sołtysiak</w:t>
      </w:r>
      <w:proofErr w:type="spellEnd"/>
      <w:r w:rsidRPr="00327D51">
        <w:rPr>
          <w:lang w:val="en-US"/>
        </w:rPr>
        <w:t xml:space="preserve">, Arkadiusz. 2021. “Towards a Historical </w:t>
      </w:r>
      <w:proofErr w:type="spellStart"/>
      <w:r w:rsidRPr="00327D51">
        <w:rPr>
          <w:lang w:val="en-US"/>
        </w:rPr>
        <w:t>Bioarchaeology</w:t>
      </w:r>
      <w:proofErr w:type="spellEnd"/>
      <w:r w:rsidRPr="00327D51">
        <w:rPr>
          <w:lang w:val="en-US"/>
        </w:rPr>
        <w:t xml:space="preserve">: The Use of Textual Sources in Research on Human Remains from the Near East and Eastern Mediterranean.” </w:t>
      </w:r>
      <w:r w:rsidRPr="00327D51">
        <w:rPr>
          <w:i/>
          <w:iCs/>
          <w:lang w:val="en-US"/>
        </w:rPr>
        <w:t>Journal of Archaeological Science, Reports</w:t>
      </w:r>
      <w:r w:rsidRPr="00327D51">
        <w:rPr>
          <w:lang w:val="en-US"/>
        </w:rPr>
        <w:t xml:space="preserve"> 38: 103006-. </w:t>
      </w:r>
      <w:hyperlink r:id="rId5" w:history="1">
        <w:r w:rsidRPr="00327D51">
          <w:rPr>
            <w:rStyle w:val="Hyperlink"/>
            <w:lang w:val="en-US"/>
          </w:rPr>
          <w:t>https://doi.org/10.1016/j.jasrep.2021.103006</w:t>
        </w:r>
      </w:hyperlink>
    </w:p>
    <w:p w14:paraId="51028D49" w14:textId="16562085" w:rsidR="00FD1556" w:rsidRDefault="00FD1556" w:rsidP="00FD1556">
      <w:pPr>
        <w:pStyle w:val="ListParagraph"/>
        <w:ind w:left="1416"/>
        <w:rPr>
          <w:lang w:val="en-US"/>
        </w:rPr>
      </w:pPr>
      <w:r w:rsidRPr="00FD1556">
        <w:rPr>
          <w:lang w:val="en-US"/>
        </w:rPr>
        <w:t xml:space="preserve">Zettler against </w:t>
      </w:r>
      <w:r w:rsidR="008C12DD">
        <w:rPr>
          <w:lang w:val="en-US"/>
        </w:rPr>
        <w:t>Weiss</w:t>
      </w:r>
    </w:p>
    <w:p w14:paraId="4EEE071B" w14:textId="178F2287" w:rsidR="004A757E" w:rsidRPr="004A757E" w:rsidRDefault="004A757E" w:rsidP="004A757E">
      <w:pPr>
        <w:pStyle w:val="ListParagraph"/>
        <w:ind w:left="1416"/>
        <w:rPr>
          <w:lang w:val="en-US"/>
        </w:rPr>
      </w:pPr>
      <w:proofErr w:type="spellStart"/>
      <w:r>
        <w:rPr>
          <w:lang w:val="en-US"/>
        </w:rPr>
        <w:t>B</w:t>
      </w:r>
      <w:r w:rsidRPr="004A757E">
        <w:rPr>
          <w:lang w:val="en-US"/>
        </w:rPr>
        <w:t>rázdil</w:t>
      </w:r>
      <w:proofErr w:type="spellEnd"/>
      <w:r>
        <w:rPr>
          <w:lang w:val="en-US"/>
        </w:rPr>
        <w:t xml:space="preserve">, </w:t>
      </w:r>
      <w:r w:rsidRPr="004A757E">
        <w:rPr>
          <w:lang w:val="en-US"/>
        </w:rPr>
        <w:t>Rudolf et al.</w:t>
      </w:r>
      <w:r>
        <w:rPr>
          <w:lang w:val="en-US"/>
        </w:rPr>
        <w:t xml:space="preserve"> 2005</w:t>
      </w:r>
      <w:r w:rsidRPr="004A757E">
        <w:rPr>
          <w:lang w:val="en-US"/>
        </w:rPr>
        <w:t xml:space="preserve"> “Historical climatology: A new approach to studying climate history,” </w:t>
      </w:r>
      <w:r w:rsidRPr="004A757E">
        <w:rPr>
          <w:i/>
          <w:iCs/>
          <w:lang w:val="en-US"/>
        </w:rPr>
        <w:t>Climatic Change</w:t>
      </w:r>
      <w:r w:rsidRPr="004A757E">
        <w:rPr>
          <w:lang w:val="en-US"/>
        </w:rPr>
        <w:t xml:space="preserve"> 70, 363–430. </w:t>
      </w:r>
    </w:p>
    <w:p w14:paraId="64BF6210" w14:textId="407BA59A" w:rsidR="00BE3832" w:rsidRPr="002C0EB6" w:rsidRDefault="004A757E" w:rsidP="004A757E">
      <w:pPr>
        <w:pStyle w:val="ListParagraph"/>
        <w:ind w:left="1416"/>
        <w:rPr>
          <w:sz w:val="24"/>
          <w:szCs w:val="24"/>
          <w:lang w:val="en-US"/>
        </w:rPr>
      </w:pPr>
      <w:r w:rsidRPr="004A757E">
        <w:rPr>
          <w:lang w:val="en-US"/>
        </w:rPr>
        <w:t>Paparella</w:t>
      </w:r>
      <w:r>
        <w:rPr>
          <w:lang w:val="en-US"/>
        </w:rPr>
        <w:t xml:space="preserve">, </w:t>
      </w:r>
      <w:r w:rsidRPr="004A757E">
        <w:rPr>
          <w:lang w:val="en-US"/>
        </w:rPr>
        <w:t>Claudia et al.</w:t>
      </w:r>
      <w:r>
        <w:rPr>
          <w:lang w:val="en-US"/>
        </w:rPr>
        <w:t xml:space="preserve"> 2025.</w:t>
      </w:r>
      <w:r w:rsidRPr="004A757E">
        <w:rPr>
          <w:lang w:val="en-US"/>
        </w:rPr>
        <w:t xml:space="preserve"> “Historical archives from the Roman Monarchic and Republican periods show human perceptions of environment and climate change in Italy, 753–29 BCE,” The Holocene 35.4.</w:t>
      </w:r>
    </w:p>
    <w:p w14:paraId="45F3274F" w14:textId="77777777" w:rsidR="004A757E" w:rsidRDefault="00BE3832" w:rsidP="00BE3832">
      <w:pPr>
        <w:pStyle w:val="ListParagrap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</w:p>
    <w:p w14:paraId="48052EF5" w14:textId="2A726D13" w:rsidR="00BE3832" w:rsidRPr="00754DB9" w:rsidRDefault="00BE3832" w:rsidP="00754DB9">
      <w:pPr>
        <w:pStyle w:val="ListParagraph"/>
        <w:ind w:firstLine="696"/>
        <w:rPr>
          <w:lang w:val="en-US"/>
        </w:rPr>
      </w:pPr>
      <w:r w:rsidRPr="00754DB9">
        <w:rPr>
          <w:lang w:val="en-US"/>
        </w:rPr>
        <w:t>Presentation</w:t>
      </w:r>
      <w:r w:rsidR="00754DB9">
        <w:rPr>
          <w:lang w:val="en-US"/>
        </w:rPr>
        <w:tab/>
        <w:t>to be assigned</w:t>
      </w:r>
    </w:p>
    <w:p w14:paraId="35C6DF5B" w14:textId="77777777" w:rsidR="00113E46" w:rsidRPr="00754DB9" w:rsidRDefault="00113E46" w:rsidP="00113E46">
      <w:pPr>
        <w:pStyle w:val="ListParagraph"/>
        <w:rPr>
          <w:lang w:val="en-US"/>
        </w:rPr>
      </w:pPr>
    </w:p>
    <w:p w14:paraId="5EDB6743" w14:textId="77777777" w:rsidR="00BE3832" w:rsidRPr="00113E46" w:rsidRDefault="00BE3832" w:rsidP="00113E46">
      <w:pPr>
        <w:pStyle w:val="ListParagraph"/>
        <w:rPr>
          <w:lang w:val="en-US"/>
        </w:rPr>
      </w:pPr>
    </w:p>
    <w:p w14:paraId="41A337F5" w14:textId="769F9094" w:rsidR="00113E46" w:rsidRPr="00BE3832" w:rsidRDefault="00113E46" w:rsidP="00BE3832">
      <w:pPr>
        <w:pStyle w:val="ListParagraph"/>
        <w:numPr>
          <w:ilvl w:val="0"/>
          <w:numId w:val="1"/>
        </w:numPr>
        <w:rPr>
          <w:lang w:val="en-US"/>
        </w:rPr>
      </w:pPr>
      <w:r w:rsidRPr="00D77E74">
        <w:rPr>
          <w:sz w:val="24"/>
          <w:szCs w:val="24"/>
          <w:lang w:val="en-US"/>
        </w:rPr>
        <w:t>12/02</w:t>
      </w:r>
      <w:r w:rsidR="009F34FE">
        <w:rPr>
          <w:sz w:val="24"/>
          <w:szCs w:val="24"/>
          <w:lang w:val="en-US"/>
        </w:rPr>
        <w:tab/>
      </w:r>
      <w:r w:rsidR="00BE3832">
        <w:rPr>
          <w:sz w:val="24"/>
          <w:szCs w:val="24"/>
          <w:lang w:val="en-US"/>
        </w:rPr>
        <w:t>Historicizing Homer</w:t>
      </w:r>
      <w:r w:rsidR="008C12DD">
        <w:rPr>
          <w:sz w:val="24"/>
          <w:szCs w:val="24"/>
          <w:lang w:val="en-US"/>
        </w:rPr>
        <w:t>: Aegean perspective</w:t>
      </w:r>
    </w:p>
    <w:p w14:paraId="4017D1FD" w14:textId="20A358B7" w:rsidR="00BE3832" w:rsidRDefault="00BE3832" w:rsidP="005F489E">
      <w:pPr>
        <w:pStyle w:val="ListParagraph"/>
        <w:spacing w:after="120" w:line="240" w:lineRule="auto"/>
        <w:ind w:left="1411"/>
        <w:rPr>
          <w:lang w:val="en-US"/>
        </w:rPr>
      </w:pPr>
      <w:proofErr w:type="spellStart"/>
      <w:r w:rsidRPr="00BE3832">
        <w:rPr>
          <w:lang w:val="en-US"/>
        </w:rPr>
        <w:t>Varto</w:t>
      </w:r>
      <w:proofErr w:type="spellEnd"/>
      <w:r w:rsidRPr="00BE3832">
        <w:rPr>
          <w:lang w:val="en-US"/>
        </w:rPr>
        <w:t>, Emily, 2022. “Kingship in the hall. Poetry and the archaeology of the early Greek housing.” In Baird, J. A., and April Pudsey, eds., Housing in the Ancient Mediterranean World: Material and Textual Approaches. Cambridge University Press.</w:t>
      </w:r>
    </w:p>
    <w:p w14:paraId="245897D1" w14:textId="77777777" w:rsidR="00BE3832" w:rsidRPr="00E4155A" w:rsidRDefault="00BE3832" w:rsidP="005F489E">
      <w:pPr>
        <w:pStyle w:val="ListParagraph"/>
        <w:spacing w:after="120" w:line="240" w:lineRule="auto"/>
        <w:ind w:left="1411"/>
        <w:rPr>
          <w:lang w:val="en-US"/>
        </w:rPr>
      </w:pPr>
      <w:proofErr w:type="spellStart"/>
      <w:r w:rsidRPr="00E4155A">
        <w:rPr>
          <w:lang w:val="en-US"/>
        </w:rPr>
        <w:t>Cosmopoulos</w:t>
      </w:r>
      <w:proofErr w:type="spellEnd"/>
      <w:r w:rsidRPr="00E4155A">
        <w:rPr>
          <w:lang w:val="en-US"/>
        </w:rPr>
        <w:t xml:space="preserve">, Michael B. 2025. </w:t>
      </w:r>
      <w:r w:rsidRPr="00E4155A">
        <w:rPr>
          <w:i/>
          <w:iCs/>
          <w:lang w:val="en-US"/>
        </w:rPr>
        <w:t>The World of Homer</w:t>
      </w:r>
      <w:r w:rsidRPr="00E4155A">
        <w:rPr>
          <w:lang w:val="en-US"/>
        </w:rPr>
        <w:t xml:space="preserve">. Cambridge University Press. </w:t>
      </w:r>
      <w:r>
        <w:rPr>
          <w:lang w:val="en-US"/>
        </w:rPr>
        <w:t>Part II.2, and Part III</w:t>
      </w:r>
      <w:r w:rsidRPr="00E4155A">
        <w:rPr>
          <w:lang w:val="en-US"/>
        </w:rPr>
        <w:t>.</w:t>
      </w:r>
    </w:p>
    <w:p w14:paraId="75C4E378" w14:textId="47A91C65" w:rsidR="00BE3832" w:rsidRDefault="00BE3832" w:rsidP="005F489E">
      <w:pPr>
        <w:pStyle w:val="ListParagraph"/>
        <w:spacing w:after="120" w:line="240" w:lineRule="auto"/>
        <w:ind w:left="1411"/>
        <w:rPr>
          <w:lang w:val="en-US"/>
        </w:rPr>
      </w:pPr>
      <w:r w:rsidRPr="00E4155A">
        <w:rPr>
          <w:lang w:val="en-US"/>
        </w:rPr>
        <w:t xml:space="preserve">Kolb, Frank. 2004. “Troy VI: A Trading Center and Commercial City?” </w:t>
      </w:r>
      <w:r w:rsidRPr="00E4155A">
        <w:rPr>
          <w:i/>
          <w:iCs/>
          <w:lang w:val="en-US"/>
        </w:rPr>
        <w:t>American Journal of Archaeology</w:t>
      </w:r>
      <w:r w:rsidRPr="00E4155A">
        <w:rPr>
          <w:lang w:val="en-US"/>
        </w:rPr>
        <w:t xml:space="preserve"> (Boston, MA) 108 (4): 577–613. </w:t>
      </w:r>
      <w:hyperlink r:id="rId6" w:history="1">
        <w:r w:rsidR="00FD1556" w:rsidRPr="00E4155A">
          <w:rPr>
            <w:rStyle w:val="Hyperlink"/>
            <w:lang w:val="en-US"/>
          </w:rPr>
          <w:t>https://doi.org/10.3764/aja.108.4.577.</w:t>
        </w:r>
        <w:r w:rsidR="00FD1556" w:rsidRPr="00792354">
          <w:rPr>
            <w:rStyle w:val="Hyperlink"/>
            <w:lang w:val="en-US"/>
          </w:rPr>
          <w:t>4</w:t>
        </w:r>
      </w:hyperlink>
    </w:p>
    <w:p w14:paraId="4381E3CE" w14:textId="57E51734" w:rsidR="00FD1556" w:rsidRPr="00E4155A" w:rsidRDefault="00FD1556" w:rsidP="005F489E">
      <w:pPr>
        <w:pStyle w:val="ListParagraph"/>
        <w:spacing w:after="120" w:line="240" w:lineRule="auto"/>
        <w:ind w:left="1411"/>
        <w:rPr>
          <w:lang w:val="en-US"/>
        </w:rPr>
      </w:pPr>
      <w:r>
        <w:rPr>
          <w:lang w:val="en-US"/>
        </w:rPr>
        <w:t>Sorry</w:t>
      </w:r>
    </w:p>
    <w:p w14:paraId="15E8F055" w14:textId="627A798C" w:rsidR="00BE3832" w:rsidRDefault="00BE3832" w:rsidP="00BE3832">
      <w:pPr>
        <w:pStyle w:val="ListParagraph"/>
        <w:ind w:left="1416"/>
        <w:rPr>
          <w:lang w:val="en-US"/>
        </w:rPr>
      </w:pPr>
    </w:p>
    <w:p w14:paraId="5AA1B01A" w14:textId="54B88908" w:rsidR="00BE3832" w:rsidRDefault="00BE3832" w:rsidP="008C12DD">
      <w:pPr>
        <w:pStyle w:val="ListParagraph"/>
        <w:ind w:left="1416"/>
        <w:rPr>
          <w:lang w:val="en-US"/>
        </w:rPr>
      </w:pPr>
      <w:r>
        <w:rPr>
          <w:lang w:val="en-US"/>
        </w:rPr>
        <w:t>Presentation</w:t>
      </w:r>
      <w:r w:rsidR="000310CE">
        <w:rPr>
          <w:lang w:val="en-US"/>
        </w:rPr>
        <w:tab/>
      </w:r>
      <w:r w:rsidR="000310CE" w:rsidRPr="000310CE">
        <w:rPr>
          <w:i/>
          <w:iCs/>
          <w:lang w:val="en-US"/>
        </w:rPr>
        <w:t xml:space="preserve">Anna Selden: </w:t>
      </w:r>
      <w:proofErr w:type="spellStart"/>
      <w:r w:rsidR="000310CE" w:rsidRPr="000310CE">
        <w:rPr>
          <w:i/>
          <w:iCs/>
          <w:lang w:val="en-US"/>
        </w:rPr>
        <w:t>tbd</w:t>
      </w:r>
      <w:proofErr w:type="spellEnd"/>
      <w:r w:rsidR="000310CE" w:rsidRPr="000310CE">
        <w:rPr>
          <w:i/>
          <w:iCs/>
          <w:lang w:val="en-US"/>
        </w:rPr>
        <w:t xml:space="preserve"> (Troy?)</w:t>
      </w:r>
    </w:p>
    <w:p w14:paraId="3AD75800" w14:textId="77777777" w:rsidR="008C12DD" w:rsidRDefault="008C12DD" w:rsidP="008C12DD">
      <w:pPr>
        <w:pStyle w:val="ListParagraph"/>
        <w:ind w:left="1416"/>
        <w:rPr>
          <w:lang w:val="en-US"/>
        </w:rPr>
      </w:pPr>
    </w:p>
    <w:p w14:paraId="2C200D8A" w14:textId="77777777" w:rsidR="008C12DD" w:rsidRPr="008C12DD" w:rsidRDefault="008C12DD" w:rsidP="008C12DD">
      <w:pPr>
        <w:pStyle w:val="ListParagraph"/>
        <w:ind w:left="1416"/>
        <w:rPr>
          <w:lang w:val="en-US"/>
        </w:rPr>
      </w:pPr>
    </w:p>
    <w:p w14:paraId="7BA34537" w14:textId="717CEE3C" w:rsidR="009F34FE" w:rsidRPr="009F34FE" w:rsidRDefault="00113E46" w:rsidP="008C12DD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9F34FE">
        <w:rPr>
          <w:sz w:val="24"/>
          <w:szCs w:val="24"/>
          <w:lang w:val="en-US"/>
        </w:rPr>
        <w:t>12/09</w:t>
      </w:r>
      <w:r w:rsidR="00FD1556">
        <w:rPr>
          <w:sz w:val="24"/>
          <w:szCs w:val="24"/>
          <w:lang w:val="en-US"/>
        </w:rPr>
        <w:t xml:space="preserve"> </w:t>
      </w:r>
      <w:r w:rsidR="008C12DD">
        <w:rPr>
          <w:sz w:val="24"/>
          <w:szCs w:val="24"/>
          <w:lang w:val="en-US"/>
        </w:rPr>
        <w:t>Historicizing Homer: western Asian perspective</w:t>
      </w:r>
    </w:p>
    <w:p w14:paraId="2B13F3D3" w14:textId="77777777" w:rsidR="00E96988" w:rsidRPr="00113E46" w:rsidRDefault="00E96988" w:rsidP="005F489E">
      <w:pPr>
        <w:pStyle w:val="ListParagraph"/>
        <w:spacing w:after="120" w:line="240" w:lineRule="auto"/>
        <w:ind w:left="1411"/>
        <w:rPr>
          <w:lang w:val="en-US"/>
        </w:rPr>
      </w:pPr>
      <w:r w:rsidRPr="00E96988">
        <w:rPr>
          <w:lang w:val="en-US"/>
        </w:rPr>
        <w:t>Feldman, Louis H.</w:t>
      </w:r>
      <w:r>
        <w:rPr>
          <w:lang w:val="en-US"/>
        </w:rPr>
        <w:t xml:space="preserve"> </w:t>
      </w:r>
      <w:r w:rsidRPr="00E96988">
        <w:rPr>
          <w:lang w:val="en-US"/>
        </w:rPr>
        <w:t>1996</w:t>
      </w:r>
      <w:r>
        <w:rPr>
          <w:lang w:val="en-US"/>
        </w:rPr>
        <w:t>.</w:t>
      </w:r>
      <w:r w:rsidRPr="00E96988">
        <w:rPr>
          <w:lang w:val="en-US"/>
        </w:rPr>
        <w:t xml:space="preserve"> “Homer and the Near East: The Rise of the Greek Genius.” The Biblical Archaeologist 59, no. 1: 13–21. https://doi.org/10.2307/3210531.</w:t>
      </w:r>
    </w:p>
    <w:p w14:paraId="2C03B03F" w14:textId="77777777" w:rsidR="00E96988" w:rsidRDefault="00E96988" w:rsidP="005F489E">
      <w:pPr>
        <w:pStyle w:val="ListParagraph"/>
        <w:spacing w:after="120" w:line="240" w:lineRule="auto"/>
        <w:ind w:left="1411"/>
        <w:rPr>
          <w:lang w:val="en-US"/>
        </w:rPr>
      </w:pPr>
      <w:r w:rsidRPr="00E96988">
        <w:rPr>
          <w:lang w:val="en-US"/>
        </w:rPr>
        <w:t xml:space="preserve">Carlos J. Moreu, “The Sea Peoples and the Historical Background of the Trojan War,” </w:t>
      </w:r>
      <w:r w:rsidRPr="00E96988">
        <w:rPr>
          <w:i/>
          <w:iCs/>
          <w:lang w:val="en-US"/>
        </w:rPr>
        <w:t>Mediterranean Archaeology</w:t>
      </w:r>
      <w:r w:rsidRPr="00E96988">
        <w:rPr>
          <w:lang w:val="en-US"/>
        </w:rPr>
        <w:t xml:space="preserve"> 16 (2003), 107–124. </w:t>
      </w:r>
    </w:p>
    <w:p w14:paraId="6193A4EB" w14:textId="3523731B" w:rsidR="00BE3832" w:rsidRDefault="00BE3832" w:rsidP="005F489E">
      <w:pPr>
        <w:pStyle w:val="ListParagraph"/>
        <w:spacing w:after="120" w:line="240" w:lineRule="auto"/>
        <w:ind w:left="1411"/>
        <w:rPr>
          <w:lang w:val="en-US"/>
        </w:rPr>
      </w:pPr>
      <w:r w:rsidRPr="00BE3832">
        <w:rPr>
          <w:lang w:val="en-US"/>
        </w:rPr>
        <w:t xml:space="preserve">Cline, Eric H. 2013. “The Trojan War in Context: Mycenaeans, Hittites, Trojans, and Sea Peoples.” In </w:t>
      </w:r>
      <w:r w:rsidRPr="00BE3832">
        <w:rPr>
          <w:i/>
          <w:iCs/>
          <w:lang w:val="en-US"/>
        </w:rPr>
        <w:t>The Trojan War: A Very Short Introduction</w:t>
      </w:r>
      <w:r w:rsidRPr="00BE3832">
        <w:rPr>
          <w:lang w:val="en-US"/>
        </w:rPr>
        <w:t xml:space="preserve">. Oxford University Press. </w:t>
      </w:r>
    </w:p>
    <w:p w14:paraId="563B83F6" w14:textId="7F722EB4" w:rsidR="00E96988" w:rsidRPr="00BE3832" w:rsidRDefault="00E96988" w:rsidP="005F489E">
      <w:pPr>
        <w:pStyle w:val="ListParagraph"/>
        <w:spacing w:after="120" w:line="240" w:lineRule="auto"/>
        <w:ind w:left="1411"/>
        <w:rPr>
          <w:lang w:val="en-US"/>
        </w:rPr>
      </w:pPr>
      <w:r w:rsidRPr="00E96988">
        <w:rPr>
          <w:lang w:val="en-US"/>
        </w:rPr>
        <w:t xml:space="preserve">Oh </w:t>
      </w:r>
      <w:proofErr w:type="spellStart"/>
      <w:r w:rsidRPr="00E96988">
        <w:rPr>
          <w:lang w:val="en-US"/>
        </w:rPr>
        <w:t>Hungshik</w:t>
      </w:r>
      <w:proofErr w:type="spellEnd"/>
      <w:r w:rsidRPr="00E96988">
        <w:rPr>
          <w:lang w:val="en-US"/>
        </w:rPr>
        <w:t>, “The Trojan War and the Sea Peoples,” Journal of Western Ancient History and Culture 34 (2013), 107–143.</w:t>
      </w:r>
    </w:p>
    <w:p w14:paraId="153841F1" w14:textId="57EA5028" w:rsidR="00327D51" w:rsidRPr="000310CE" w:rsidRDefault="00795EB2" w:rsidP="005F489E">
      <w:pPr>
        <w:pStyle w:val="ListParagraph"/>
        <w:spacing w:after="120" w:line="240" w:lineRule="auto"/>
        <w:ind w:left="1411"/>
        <w:rPr>
          <w:lang w:val="en-US"/>
        </w:rPr>
      </w:pPr>
      <w:proofErr w:type="spellStart"/>
      <w:r w:rsidRPr="00795EB2">
        <w:rPr>
          <w:lang w:val="en-US"/>
        </w:rPr>
        <w:t>Kopanias</w:t>
      </w:r>
      <w:proofErr w:type="spellEnd"/>
      <w:r w:rsidRPr="00795EB2">
        <w:rPr>
          <w:lang w:val="en-US"/>
        </w:rPr>
        <w:t xml:space="preserve">, Konstantinos. "Cilicia and Pamphylia during the Early Iron Age: </w:t>
      </w:r>
      <w:proofErr w:type="spellStart"/>
      <w:r w:rsidRPr="00795EB2">
        <w:rPr>
          <w:lang w:val="en-US"/>
        </w:rPr>
        <w:t>Hiyawa</w:t>
      </w:r>
      <w:proofErr w:type="spellEnd"/>
      <w:r w:rsidRPr="00795EB2">
        <w:rPr>
          <w:lang w:val="en-US"/>
        </w:rPr>
        <w:t xml:space="preserve">, </w:t>
      </w:r>
      <w:proofErr w:type="spellStart"/>
      <w:r w:rsidRPr="00795EB2">
        <w:rPr>
          <w:lang w:val="en-US"/>
        </w:rPr>
        <w:t>Mopsos</w:t>
      </w:r>
      <w:proofErr w:type="spellEnd"/>
      <w:r w:rsidRPr="00795EB2">
        <w:rPr>
          <w:lang w:val="en-US"/>
        </w:rPr>
        <w:t xml:space="preserve"> and the foundation of the Greek poleis." </w:t>
      </w:r>
      <w:r w:rsidRPr="000310CE">
        <w:rPr>
          <w:i/>
          <w:iCs/>
          <w:lang w:val="en-US"/>
        </w:rPr>
        <w:t>Athens University Review of Archaeology (AURA)</w:t>
      </w:r>
      <w:r w:rsidRPr="000310CE">
        <w:rPr>
          <w:lang w:val="en-US"/>
        </w:rPr>
        <w:t> 1 (2018): 69-95.</w:t>
      </w:r>
    </w:p>
    <w:p w14:paraId="2FDB1088" w14:textId="77777777" w:rsidR="005F489E" w:rsidRPr="000310CE" w:rsidRDefault="005F489E" w:rsidP="00327D51">
      <w:pPr>
        <w:pStyle w:val="ListParagraph"/>
        <w:ind w:left="1416"/>
        <w:rPr>
          <w:lang w:val="en-US"/>
        </w:rPr>
      </w:pPr>
    </w:p>
    <w:p w14:paraId="2113B492" w14:textId="675FD082" w:rsidR="005F489E" w:rsidRPr="000310CE" w:rsidRDefault="005F489E" w:rsidP="00327D51">
      <w:pPr>
        <w:pStyle w:val="ListParagraph"/>
        <w:ind w:left="1416"/>
        <w:rPr>
          <w:lang w:val="en-US"/>
        </w:rPr>
      </w:pPr>
      <w:r w:rsidRPr="000310CE">
        <w:rPr>
          <w:lang w:val="en-US"/>
        </w:rPr>
        <w:t>Presentation</w:t>
      </w:r>
      <w:r w:rsidR="000310CE" w:rsidRPr="000310CE">
        <w:rPr>
          <w:lang w:val="en-US"/>
        </w:rPr>
        <w:tab/>
      </w:r>
      <w:r w:rsidR="000310CE" w:rsidRPr="000310CE">
        <w:rPr>
          <w:i/>
          <w:iCs/>
          <w:lang w:val="en-US"/>
        </w:rPr>
        <w:t xml:space="preserve">LDA: </w:t>
      </w:r>
      <w:r w:rsidR="000310CE">
        <w:rPr>
          <w:i/>
          <w:iCs/>
          <w:lang w:val="en-US"/>
        </w:rPr>
        <w:t>War for a woman</w:t>
      </w:r>
      <w:r w:rsidR="000310CE" w:rsidRPr="000310CE">
        <w:rPr>
          <w:i/>
          <w:iCs/>
          <w:lang w:val="en-US"/>
        </w:rPr>
        <w:t xml:space="preserve">: Helena and the </w:t>
      </w:r>
      <w:proofErr w:type="spellStart"/>
      <w:r w:rsidR="000310CE" w:rsidRPr="000310CE">
        <w:rPr>
          <w:i/>
          <w:iCs/>
          <w:lang w:val="en-US"/>
        </w:rPr>
        <w:t>bitti</w:t>
      </w:r>
      <w:proofErr w:type="spellEnd"/>
      <w:r w:rsidR="000310CE" w:rsidRPr="000310CE">
        <w:rPr>
          <w:i/>
          <w:iCs/>
          <w:lang w:val="en-US"/>
        </w:rPr>
        <w:t xml:space="preserve"> </w:t>
      </w:r>
      <w:proofErr w:type="spellStart"/>
      <w:r w:rsidR="000310CE" w:rsidRPr="000310CE">
        <w:rPr>
          <w:i/>
          <w:iCs/>
          <w:lang w:val="en-US"/>
        </w:rPr>
        <w:t>rabiti</w:t>
      </w:r>
      <w:proofErr w:type="spellEnd"/>
    </w:p>
    <w:sectPr w:rsidR="005F489E" w:rsidRPr="000310CE"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E63E49"/>
    <w:multiLevelType w:val="hybridMultilevel"/>
    <w:tmpl w:val="10CE151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051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099"/>
    <w:rsid w:val="000310CE"/>
    <w:rsid w:val="000D164B"/>
    <w:rsid w:val="00113E46"/>
    <w:rsid w:val="00171615"/>
    <w:rsid w:val="0021150F"/>
    <w:rsid w:val="0023536C"/>
    <w:rsid w:val="002C0EB6"/>
    <w:rsid w:val="00327D51"/>
    <w:rsid w:val="003B5A61"/>
    <w:rsid w:val="00403907"/>
    <w:rsid w:val="004A757E"/>
    <w:rsid w:val="005356FC"/>
    <w:rsid w:val="005A69BE"/>
    <w:rsid w:val="005E716E"/>
    <w:rsid w:val="005F489E"/>
    <w:rsid w:val="00622445"/>
    <w:rsid w:val="006F492D"/>
    <w:rsid w:val="00754DB9"/>
    <w:rsid w:val="0075512B"/>
    <w:rsid w:val="00795EB2"/>
    <w:rsid w:val="007A15C0"/>
    <w:rsid w:val="008540A4"/>
    <w:rsid w:val="008C12DD"/>
    <w:rsid w:val="00970D32"/>
    <w:rsid w:val="009F34FE"/>
    <w:rsid w:val="00A52524"/>
    <w:rsid w:val="00B93344"/>
    <w:rsid w:val="00B970B7"/>
    <w:rsid w:val="00BB05F7"/>
    <w:rsid w:val="00BE3832"/>
    <w:rsid w:val="00BF4929"/>
    <w:rsid w:val="00C118F5"/>
    <w:rsid w:val="00C9407F"/>
    <w:rsid w:val="00CB2BD3"/>
    <w:rsid w:val="00CB5BFA"/>
    <w:rsid w:val="00D17F78"/>
    <w:rsid w:val="00D77E74"/>
    <w:rsid w:val="00D872F3"/>
    <w:rsid w:val="00DA2099"/>
    <w:rsid w:val="00E4155A"/>
    <w:rsid w:val="00E96988"/>
    <w:rsid w:val="00EC4D26"/>
    <w:rsid w:val="00ED35C4"/>
    <w:rsid w:val="00F95B70"/>
    <w:rsid w:val="00FD1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D56A7"/>
  <w15:chartTrackingRefBased/>
  <w15:docId w15:val="{2E3E18BC-DD28-4BCC-916B-5DC9BDB43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B70"/>
  </w:style>
  <w:style w:type="paragraph" w:styleId="Heading1">
    <w:name w:val="heading 1"/>
    <w:basedOn w:val="Normal"/>
    <w:next w:val="Normal"/>
    <w:link w:val="Heading1Char"/>
    <w:uiPriority w:val="9"/>
    <w:qFormat/>
    <w:rsid w:val="00F95B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5B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A20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20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20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20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20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20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20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B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95B7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F95B70"/>
    <w:rPr>
      <w:b/>
      <w:bCs/>
    </w:rPr>
  </w:style>
  <w:style w:type="character" w:styleId="Emphasis">
    <w:name w:val="Emphasis"/>
    <w:basedOn w:val="DefaultParagraphFont"/>
    <w:uiPriority w:val="20"/>
    <w:qFormat/>
    <w:rsid w:val="00F95B70"/>
    <w:rPr>
      <w:i/>
      <w:iCs/>
    </w:rPr>
  </w:style>
  <w:style w:type="paragraph" w:styleId="ListParagraph">
    <w:name w:val="List Paragraph"/>
    <w:basedOn w:val="Normal"/>
    <w:uiPriority w:val="34"/>
    <w:qFormat/>
    <w:rsid w:val="00F95B70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DA20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209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209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20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20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20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20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2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2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20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2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2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209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DA209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0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09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209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C4D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4D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3764/aja.108.4.577.4" TargetMode="External"/><Relationship Id="rId5" Type="http://schemas.openxmlformats.org/officeDocument/2006/relationships/hyperlink" Target="https://doi.org/10.1016/j.jasrep.2021.10300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754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dalfonso</dc:creator>
  <cp:keywords/>
  <dc:description/>
  <cp:lastModifiedBy>Lorenzo D'alfonso</cp:lastModifiedBy>
  <cp:revision>3</cp:revision>
  <dcterms:created xsi:type="dcterms:W3CDTF">2026-09-02T21:59:00Z</dcterms:created>
  <dcterms:modified xsi:type="dcterms:W3CDTF">2026-09-07T03:02:00Z</dcterms:modified>
</cp:coreProperties>
</file>